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7F95" w:rsidRDefault="003D7F95" w:rsidP="003D7F95">
      <w:pPr>
        <w:ind w:firstLine="567"/>
        <w:contextualSpacing/>
        <w:jc w:val="both"/>
        <w:rPr>
          <w:rFonts w:ascii="Times New Roman" w:hAnsi="Times New Roman"/>
          <w:sz w:val="28"/>
          <w:szCs w:val="28"/>
          <w:lang w:val="kk-KZ"/>
        </w:rPr>
      </w:pPr>
      <w:r>
        <w:rPr>
          <w:rFonts w:ascii="Times New Roman" w:hAnsi="Times New Roman"/>
          <w:sz w:val="28"/>
          <w:szCs w:val="28"/>
          <w:lang w:val="kk-KZ"/>
        </w:rPr>
        <w:t xml:space="preserve"> Тапсырма №52 , стр 106-108 Ержанқызы Диана </w:t>
      </w:r>
    </w:p>
    <w:p w:rsidR="003D7F95" w:rsidRDefault="003D7F95" w:rsidP="003D7F95">
      <w:pPr>
        <w:ind w:firstLine="567"/>
        <w:contextualSpacing/>
        <w:jc w:val="both"/>
        <w:rPr>
          <w:rFonts w:ascii="Times New Roman" w:hAnsi="Times New Roman"/>
          <w:sz w:val="28"/>
          <w:szCs w:val="28"/>
          <w:lang w:val="kk-KZ"/>
        </w:rPr>
      </w:pPr>
      <w:r>
        <w:rPr>
          <w:rFonts w:ascii="Times New Roman" w:hAnsi="Times New Roman"/>
          <w:sz w:val="28"/>
          <w:szCs w:val="28"/>
          <w:lang w:val="kk-KZ"/>
        </w:rPr>
        <w:t>Географиялық орын нысандандырылған түрінде жер беткейінде екі өлшемді кеңістікте картаға белгіленген объектілердің орны. Физикалық географияда, сирек экономикалық, үшінші өлшем де бағаланады – абсолютті немесе салыстырмалы биіктік. Картада юарлық объектілер нүктелік, сызықтық (масштабтан тыс шартты белгілермен) немесе аудандық (белгілі бір кеңістікті алып жататын контурлы) тәрізді кескінделеді. Шындығында, әрине, нүктелік те, сызықтық та объектілер ұсақ масштабты картада (елді мекен, көп жолақты автожол) аудандарды алып жатады, алайда сәйкес келетін масштабта осы жағдайды зерттеуді елемеуге болады. Онда келесі объектілердің көрсетілген категорияларының өзара орналасуы мүмкін:</w:t>
      </w:r>
    </w:p>
    <w:p w:rsidR="003D7F95" w:rsidRDefault="003D7F95" w:rsidP="003D7F95">
      <w:pPr>
        <w:ind w:firstLine="567"/>
        <w:contextualSpacing/>
        <w:jc w:val="both"/>
        <w:rPr>
          <w:rFonts w:ascii="Times New Roman" w:hAnsi="Times New Roman"/>
          <w:sz w:val="28"/>
          <w:szCs w:val="28"/>
          <w:lang w:val="kk-KZ"/>
        </w:rPr>
      </w:pPr>
      <w:r>
        <w:rPr>
          <w:rFonts w:ascii="Times New Roman" w:hAnsi="Times New Roman"/>
          <w:sz w:val="28"/>
          <w:szCs w:val="28"/>
          <w:lang w:val="kk-KZ"/>
        </w:rPr>
        <w:t>а) бір нүкте екінші нүктеге қатысты: Мәскеу Санкт-Петербургке қатысты;</w:t>
      </w:r>
    </w:p>
    <w:p w:rsidR="003D7F95" w:rsidRDefault="003D7F95" w:rsidP="003D7F95">
      <w:pPr>
        <w:ind w:firstLine="567"/>
        <w:contextualSpacing/>
        <w:jc w:val="both"/>
        <w:rPr>
          <w:rFonts w:ascii="Times New Roman" w:hAnsi="Times New Roman"/>
          <w:sz w:val="28"/>
          <w:szCs w:val="28"/>
          <w:lang w:val="kk-KZ"/>
        </w:rPr>
      </w:pPr>
      <w:r>
        <w:rPr>
          <w:rFonts w:ascii="Times New Roman" w:hAnsi="Times New Roman"/>
          <w:sz w:val="28"/>
          <w:szCs w:val="28"/>
          <w:lang w:val="kk-KZ"/>
        </w:rPr>
        <w:t>б) нүкте сызыққа қатысты (және керісінше): Саратов Волгада;</w:t>
      </w:r>
    </w:p>
    <w:p w:rsidR="003D7F95" w:rsidRDefault="003D7F95" w:rsidP="003D7F95">
      <w:pPr>
        <w:ind w:firstLine="567"/>
        <w:contextualSpacing/>
        <w:jc w:val="both"/>
        <w:rPr>
          <w:rFonts w:ascii="Times New Roman" w:hAnsi="Times New Roman"/>
          <w:sz w:val="28"/>
          <w:szCs w:val="28"/>
          <w:lang w:val="kk-KZ"/>
        </w:rPr>
      </w:pPr>
      <w:r>
        <w:rPr>
          <w:rFonts w:ascii="Times New Roman" w:hAnsi="Times New Roman"/>
          <w:sz w:val="28"/>
          <w:szCs w:val="28"/>
          <w:lang w:val="kk-KZ"/>
        </w:rPr>
        <w:t>в) нүкте ауданға қатысты – мемлекеттегі астана;</w:t>
      </w:r>
    </w:p>
    <w:p w:rsidR="003D7F95" w:rsidRDefault="003D7F95" w:rsidP="003D7F95">
      <w:pPr>
        <w:ind w:firstLine="567"/>
        <w:contextualSpacing/>
        <w:jc w:val="both"/>
        <w:rPr>
          <w:rFonts w:ascii="Times New Roman" w:hAnsi="Times New Roman"/>
          <w:sz w:val="28"/>
          <w:szCs w:val="28"/>
          <w:lang w:val="kk-KZ"/>
        </w:rPr>
      </w:pPr>
      <w:r>
        <w:rPr>
          <w:rFonts w:ascii="Times New Roman" w:hAnsi="Times New Roman"/>
          <w:sz w:val="28"/>
          <w:szCs w:val="28"/>
          <w:lang w:val="kk-KZ"/>
        </w:rPr>
        <w:t>г) сызық сызыққа қатысты: Байкал-Амур магистралі трассасы Ұлы Сібір магистарліне қатысты;</w:t>
      </w:r>
    </w:p>
    <w:p w:rsidR="003D7F95" w:rsidRDefault="003D7F95" w:rsidP="003D7F95">
      <w:pPr>
        <w:ind w:firstLine="567"/>
        <w:contextualSpacing/>
        <w:jc w:val="both"/>
        <w:rPr>
          <w:rFonts w:ascii="Times New Roman" w:hAnsi="Times New Roman"/>
          <w:sz w:val="28"/>
          <w:szCs w:val="28"/>
          <w:lang w:val="kk-KZ"/>
        </w:rPr>
      </w:pPr>
      <w:r>
        <w:rPr>
          <w:rFonts w:ascii="Times New Roman" w:hAnsi="Times New Roman"/>
          <w:sz w:val="28"/>
          <w:szCs w:val="28"/>
          <w:lang w:val="kk-KZ"/>
        </w:rPr>
        <w:t>д) сызық аудан шегінде: Яна өзені Якутияның солтүстік-шығысында;</w:t>
      </w:r>
    </w:p>
    <w:p w:rsidR="003D7F95" w:rsidRDefault="003D7F95" w:rsidP="003D7F95">
      <w:pPr>
        <w:ind w:firstLine="567"/>
        <w:contextualSpacing/>
        <w:jc w:val="both"/>
        <w:rPr>
          <w:rFonts w:ascii="Times New Roman" w:hAnsi="Times New Roman"/>
          <w:sz w:val="28"/>
          <w:szCs w:val="28"/>
          <w:lang w:val="kk-KZ"/>
        </w:rPr>
      </w:pPr>
      <w:r>
        <w:rPr>
          <w:rFonts w:ascii="Times New Roman" w:hAnsi="Times New Roman"/>
          <w:sz w:val="28"/>
          <w:szCs w:val="28"/>
          <w:lang w:val="kk-KZ"/>
        </w:rPr>
        <w:t>е) аудан басқа ауданға қатысты: Мордовия және Чувашия республикасы.</w:t>
      </w:r>
    </w:p>
    <w:p w:rsidR="003D7F95" w:rsidRDefault="003D7F95" w:rsidP="003D7F95">
      <w:pPr>
        <w:ind w:firstLine="567"/>
        <w:contextualSpacing/>
        <w:jc w:val="both"/>
        <w:rPr>
          <w:rFonts w:ascii="Times New Roman" w:hAnsi="Times New Roman"/>
          <w:sz w:val="28"/>
          <w:szCs w:val="28"/>
          <w:lang w:val="kk-KZ"/>
        </w:rPr>
      </w:pPr>
      <w:r>
        <w:rPr>
          <w:rFonts w:ascii="Times New Roman" w:hAnsi="Times New Roman"/>
          <w:sz w:val="28"/>
          <w:szCs w:val="28"/>
          <w:lang w:val="kk-KZ"/>
        </w:rPr>
        <w:t>Орналасуыдың мынадай нұсқалары да мүмкін:</w:t>
      </w:r>
    </w:p>
    <w:p w:rsidR="003D7F95" w:rsidRDefault="003D7F95" w:rsidP="003D7F95">
      <w:pPr>
        <w:pStyle w:val="a3"/>
        <w:numPr>
          <w:ilvl w:val="0"/>
          <w:numId w:val="1"/>
        </w:numPr>
        <w:ind w:left="0" w:firstLine="567"/>
        <w:jc w:val="both"/>
        <w:rPr>
          <w:rFonts w:ascii="Times New Roman" w:hAnsi="Times New Roman"/>
          <w:sz w:val="28"/>
          <w:szCs w:val="28"/>
          <w:lang w:val="kk-KZ"/>
        </w:rPr>
      </w:pPr>
      <w:r>
        <w:rPr>
          <w:rFonts w:ascii="Times New Roman" w:hAnsi="Times New Roman"/>
          <w:sz w:val="28"/>
          <w:szCs w:val="28"/>
          <w:lang w:val="kk-KZ"/>
        </w:rPr>
        <w:t>Сызықтағы немесе оның сыртындағы нүкте: Тверь Москва-Санкт-Петербург темір жолында, Новгород – оның сыртында;</w:t>
      </w:r>
    </w:p>
    <w:p w:rsidR="003D7F95" w:rsidRDefault="003D7F95" w:rsidP="003D7F95">
      <w:pPr>
        <w:pStyle w:val="a3"/>
        <w:numPr>
          <w:ilvl w:val="0"/>
          <w:numId w:val="1"/>
        </w:numPr>
        <w:ind w:left="0" w:firstLine="567"/>
        <w:jc w:val="both"/>
        <w:rPr>
          <w:rFonts w:ascii="Times New Roman" w:hAnsi="Times New Roman"/>
          <w:sz w:val="28"/>
          <w:szCs w:val="28"/>
          <w:lang w:val="kk-KZ"/>
        </w:rPr>
      </w:pPr>
      <w:r>
        <w:rPr>
          <w:rFonts w:ascii="Times New Roman" w:hAnsi="Times New Roman"/>
          <w:sz w:val="28"/>
          <w:szCs w:val="28"/>
          <w:lang w:val="kk-KZ"/>
        </w:rPr>
        <w:t>Аудан шегіндегі, оның шекарасындағы, оның сыртындағы нүкте: Нраьян-Мар тундра зонасында орналасқан, Кудымкар – оның сыртында; Брест Белорусия мен Польша шекарасында орналасқан, басқа Брест – Атлант мұхитының француз шекарасында;</w:t>
      </w:r>
    </w:p>
    <w:p w:rsidR="003D7F95" w:rsidRDefault="003D7F95" w:rsidP="003D7F95">
      <w:pPr>
        <w:pStyle w:val="a3"/>
        <w:numPr>
          <w:ilvl w:val="0"/>
          <w:numId w:val="1"/>
        </w:numPr>
        <w:ind w:left="0" w:firstLine="567"/>
        <w:jc w:val="both"/>
        <w:rPr>
          <w:rFonts w:ascii="Times New Roman" w:hAnsi="Times New Roman"/>
          <w:sz w:val="28"/>
          <w:szCs w:val="28"/>
          <w:lang w:val="kk-KZ"/>
        </w:rPr>
      </w:pPr>
      <w:r>
        <w:rPr>
          <w:rFonts w:ascii="Times New Roman" w:hAnsi="Times New Roman"/>
          <w:sz w:val="28"/>
          <w:szCs w:val="28"/>
          <w:lang w:val="kk-KZ"/>
        </w:rPr>
        <w:t>Бір – бірінен бөлек орналасқан сызықтар, Печора мен Солтүстік Двин тәрізді, немесе қиылысатын сызықтар, Байкал-Амур магистралі мен Лена өзенінің қиылысқанындай;</w:t>
      </w:r>
    </w:p>
    <w:p w:rsidR="003D7F95" w:rsidRDefault="003D7F95" w:rsidP="003D7F95">
      <w:pPr>
        <w:pStyle w:val="a3"/>
        <w:numPr>
          <w:ilvl w:val="0"/>
          <w:numId w:val="1"/>
        </w:numPr>
        <w:ind w:left="0" w:firstLine="567"/>
        <w:jc w:val="both"/>
        <w:rPr>
          <w:rFonts w:ascii="Times New Roman" w:hAnsi="Times New Roman"/>
          <w:sz w:val="28"/>
          <w:szCs w:val="28"/>
          <w:lang w:val="kk-KZ"/>
        </w:rPr>
      </w:pPr>
      <w:r>
        <w:rPr>
          <w:rFonts w:ascii="Times New Roman" w:hAnsi="Times New Roman"/>
          <w:sz w:val="28"/>
          <w:szCs w:val="28"/>
          <w:lang w:val="kk-KZ"/>
        </w:rPr>
        <w:t>Сызық Якутияда  аудан шегінде толық(Яна өзеніндей) немесе жартылай (Лена өзеніндей) орналасады немесе толығымен ауданнан тыс (мысалы, Дудинк-Норильск темір жолының елдің темір жол торыбымен байланысы жоқ);</w:t>
      </w:r>
    </w:p>
    <w:p w:rsidR="003D7F95" w:rsidRDefault="003D7F95" w:rsidP="003D7F95">
      <w:pPr>
        <w:pStyle w:val="a3"/>
        <w:numPr>
          <w:ilvl w:val="0"/>
          <w:numId w:val="1"/>
        </w:numPr>
        <w:ind w:left="0" w:firstLine="567"/>
        <w:jc w:val="both"/>
        <w:rPr>
          <w:rFonts w:ascii="Times New Roman" w:hAnsi="Times New Roman"/>
          <w:sz w:val="28"/>
          <w:szCs w:val="28"/>
          <w:lang w:val="kk-KZ"/>
        </w:rPr>
      </w:pPr>
      <w:r>
        <w:rPr>
          <w:rFonts w:ascii="Times New Roman" w:hAnsi="Times New Roman"/>
          <w:sz w:val="28"/>
          <w:szCs w:val="28"/>
          <w:lang w:val="kk-KZ"/>
        </w:rPr>
        <w:t>Аудандар көршілес болып табылады (Мордовия және Чувашия) немесе бір-бірінен алшақ орналасқан (Мордовия және Татарстан).</w:t>
      </w:r>
    </w:p>
    <w:p w:rsidR="003D7F95" w:rsidRDefault="003D7F95" w:rsidP="003D7F95">
      <w:pPr>
        <w:ind w:firstLine="567"/>
        <w:contextualSpacing/>
        <w:jc w:val="both"/>
        <w:rPr>
          <w:rFonts w:ascii="Times New Roman" w:hAnsi="Times New Roman"/>
          <w:sz w:val="28"/>
          <w:szCs w:val="28"/>
          <w:lang w:val="kk-KZ"/>
        </w:rPr>
      </w:pPr>
      <w:r>
        <w:rPr>
          <w:rFonts w:ascii="Times New Roman" w:hAnsi="Times New Roman"/>
          <w:sz w:val="28"/>
          <w:szCs w:val="28"/>
          <w:lang w:val="kk-KZ"/>
        </w:rPr>
        <w:t>Объектілердің өзара орналасуын анытау үшін олардың арасындағы қашықтықты және бағытты көрсетеді (солтүстікке, оңтүстік-шығысқа).</w:t>
      </w:r>
    </w:p>
    <w:p w:rsidR="003D7F95" w:rsidRDefault="003D7F95" w:rsidP="003D7F95">
      <w:pPr>
        <w:ind w:firstLine="567"/>
        <w:contextualSpacing/>
        <w:jc w:val="both"/>
        <w:rPr>
          <w:rFonts w:ascii="Times New Roman" w:hAnsi="Times New Roman"/>
          <w:sz w:val="28"/>
          <w:szCs w:val="28"/>
          <w:lang w:val="kk-KZ"/>
        </w:rPr>
      </w:pPr>
      <w:r>
        <w:rPr>
          <w:rFonts w:ascii="Times New Roman" w:hAnsi="Times New Roman"/>
          <w:sz w:val="28"/>
          <w:szCs w:val="28"/>
          <w:lang w:val="kk-KZ"/>
        </w:rPr>
        <w:t xml:space="preserve">Нүкте, сызық, үлкенірек аудан ішіндегі кіші ауданның орнын анықтау үшін мынадай терминдерді қолданады: </w:t>
      </w:r>
      <w:r>
        <w:rPr>
          <w:rFonts w:ascii="Times New Roman" w:hAnsi="Times New Roman"/>
          <w:i/>
          <w:sz w:val="28"/>
          <w:szCs w:val="28"/>
          <w:lang w:val="kk-KZ"/>
        </w:rPr>
        <w:t xml:space="preserve">орталық, терең, шеттік,қиыр, </w:t>
      </w:r>
      <w:r>
        <w:rPr>
          <w:rFonts w:ascii="Times New Roman" w:hAnsi="Times New Roman"/>
          <w:i/>
          <w:sz w:val="28"/>
          <w:szCs w:val="28"/>
          <w:lang w:val="kk-KZ"/>
        </w:rPr>
        <w:lastRenderedPageBreak/>
        <w:t xml:space="preserve">шекаралық орын. </w:t>
      </w:r>
      <w:r>
        <w:rPr>
          <w:rFonts w:ascii="Times New Roman" w:hAnsi="Times New Roman"/>
          <w:sz w:val="28"/>
          <w:szCs w:val="28"/>
          <w:lang w:val="kk-KZ"/>
        </w:rPr>
        <w:t>Бразилия астанасынң орналасуы елдегі орталыққа жақын ретінде таңдалды, онда орналасқан Риу Гранди қаласының (оңтүстікте) орны шекаралыққа жақын; Форталеза қаласы (солтүстік-шығыста) шеттік, ал Манаус қаласы (Амазонияда) – терең орынға ие. Кейбір аумақтар, тіпті мемлекеттер өздерінің атауларында шеттік орынды көрсетеді – Украина, бұрыңғы Югославиядағы Крайна.</w:t>
      </w:r>
    </w:p>
    <w:p w:rsidR="003D7F95" w:rsidRDefault="003D7F95" w:rsidP="003D7F95">
      <w:pPr>
        <w:ind w:firstLine="567"/>
        <w:contextualSpacing/>
        <w:jc w:val="both"/>
        <w:rPr>
          <w:rFonts w:ascii="Times New Roman" w:hAnsi="Times New Roman"/>
          <w:sz w:val="28"/>
          <w:szCs w:val="28"/>
          <w:lang w:val="kk-KZ"/>
        </w:rPr>
      </w:pPr>
      <w:r>
        <w:rPr>
          <w:rFonts w:ascii="Times New Roman" w:hAnsi="Times New Roman"/>
          <w:sz w:val="28"/>
          <w:szCs w:val="28"/>
          <w:lang w:val="kk-KZ"/>
        </w:rPr>
        <w:t xml:space="preserve">Объектілердің экономикалық-географиялық орнын </w:t>
      </w:r>
      <w:r>
        <w:rPr>
          <w:rFonts w:ascii="Times New Roman" w:hAnsi="Times New Roman"/>
          <w:i/>
          <w:sz w:val="28"/>
          <w:szCs w:val="28"/>
          <w:lang w:val="kk-KZ"/>
        </w:rPr>
        <w:t>сапалық өлшеу</w:t>
      </w:r>
      <w:r>
        <w:rPr>
          <w:rFonts w:ascii="Times New Roman" w:hAnsi="Times New Roman"/>
          <w:sz w:val="28"/>
          <w:szCs w:val="28"/>
          <w:lang w:val="kk-KZ"/>
        </w:rPr>
        <w:t xml:space="preserve"> үшін бірнеше тәсілдер бар: әсер ететін немесе ықтимал әсер ете алатын объектілердің басқа объектіге дейінгі қашықтығы өзгереді.</w:t>
      </w:r>
    </w:p>
    <w:p w:rsidR="003D7F95" w:rsidRDefault="003D7F95" w:rsidP="003D7F95">
      <w:pPr>
        <w:ind w:firstLine="567"/>
        <w:contextualSpacing/>
        <w:jc w:val="both"/>
        <w:rPr>
          <w:rFonts w:ascii="Times New Roman" w:hAnsi="Times New Roman"/>
          <w:sz w:val="28"/>
          <w:szCs w:val="28"/>
          <w:lang w:val="kk-KZ"/>
        </w:rPr>
      </w:pPr>
      <w:r>
        <w:rPr>
          <w:rFonts w:ascii="Times New Roman" w:hAnsi="Times New Roman"/>
          <w:sz w:val="28"/>
          <w:szCs w:val="28"/>
          <w:lang w:val="kk-KZ"/>
        </w:rPr>
        <w:t>Қарапайым тәсілі – түзу бойынша төңіректегі немесе сай масштабтағы картада</w:t>
      </w:r>
      <w:r w:rsidRPr="00B35064">
        <w:rPr>
          <w:rFonts w:ascii="Times New Roman" w:hAnsi="Times New Roman"/>
          <w:sz w:val="28"/>
          <w:szCs w:val="28"/>
          <w:lang w:val="kk-KZ"/>
        </w:rPr>
        <w:t xml:space="preserve"> </w:t>
      </w:r>
      <w:r>
        <w:rPr>
          <w:rFonts w:ascii="Times New Roman" w:hAnsi="Times New Roman"/>
          <w:sz w:val="28"/>
          <w:szCs w:val="28"/>
          <w:lang w:val="kk-KZ"/>
        </w:rPr>
        <w:t>(бұрмаланулардың алдын алу үшін) «ауалық» (геодезиялық) қашықтығын өлшеу. Бірақ көп жағдайда объектілер арасындағы қашықтықты түзу сызықтан ауытқитын хабарлау жолдарымен трасса бойынша жеңеді. Яғни өлшеуге нақты қашықтықтар(темір жол сызығының кесіндісі немесе кеме жүзетін өзен аумағының ұзындығы) жатады. Кез келген жағдайда қашықтық километрмен өлшенеді. Бірқатар жағдайларда қашықтық (сонымен қатар тұрмыста) бар хабарлау жолдарымен объектіге дейінгі қашықтықты өту үшін қажет уақытпен(сағатпен, минутпен) өлшенеді. Әсіресе, жиі осындай тәсіл қолжетімді(жарты сағаттық, бір сағаттық, екі сағаттық) зонадағы орынды анықтау үшін қолданылады. Бұл жағдайда қозғалыс жылдамдығы(электр поездардың) және олардың арасындағы қозғалыс интервалы үлкен мәнге ие. Жолдың нақты уақыты (станцияға жетуге кеткен уақытты шегергенде) жол уақыты мен жол арасындағы интервал ұзақтығының жартысынан(күту уақыты) тұрады деп есептеледі. Егер әр түрлі пункттер поездтер әр түрлі жылдамдықпен қозғалатын сызықтармен қызмет көрсетілсе,орталыққа жақын пункт (километрдегі қашықтық бойынша) үлкен уақыттық қашықттықта болуы мүмкін. Және тіпті бір сызықта орналасқан пункттерде барлық поездтер тоқтамаса (яғни, интервалдар қашықтаса) орталықтан алшақтайды.</w:t>
      </w:r>
    </w:p>
    <w:p w:rsidR="003D7F95" w:rsidRDefault="003D7F95" w:rsidP="003D7F95">
      <w:pPr>
        <w:ind w:firstLine="567"/>
        <w:contextualSpacing/>
        <w:jc w:val="both"/>
        <w:rPr>
          <w:rFonts w:ascii="Times New Roman" w:hAnsi="Times New Roman"/>
          <w:sz w:val="28"/>
          <w:szCs w:val="28"/>
          <w:lang w:val="kk-KZ"/>
        </w:rPr>
      </w:pPr>
      <w:r>
        <w:rPr>
          <w:rFonts w:ascii="Times New Roman" w:hAnsi="Times New Roman"/>
          <w:sz w:val="28"/>
          <w:szCs w:val="28"/>
          <w:lang w:val="kk-KZ"/>
        </w:rPr>
        <w:t>«Уақыт-ақша», сондықтан уақыттық өлшем экономикалық қашықтық ретінде түсіндіріледі. Дәлірек ол жүк тасу немесе жолаушылар тасымалының тарифтік төлемақыысымен өлшенеді.</w:t>
      </w:r>
    </w:p>
    <w:p w:rsidR="003D7F95" w:rsidRDefault="003D7F95" w:rsidP="003D7F95">
      <w:pPr>
        <w:ind w:firstLine="567"/>
        <w:contextualSpacing/>
        <w:jc w:val="both"/>
        <w:rPr>
          <w:rFonts w:ascii="Times New Roman" w:hAnsi="Times New Roman"/>
          <w:sz w:val="28"/>
          <w:szCs w:val="28"/>
          <w:lang w:val="kk-KZ"/>
        </w:rPr>
      </w:pPr>
      <w:r>
        <w:rPr>
          <w:rFonts w:ascii="Times New Roman" w:hAnsi="Times New Roman"/>
          <w:sz w:val="28"/>
          <w:szCs w:val="28"/>
          <w:lang w:val="kk-KZ"/>
        </w:rPr>
        <w:t>Метр немесе минуттағы нақты мағынасы жоқ «</w:t>
      </w:r>
      <w:r>
        <w:rPr>
          <w:rFonts w:ascii="Times New Roman" w:hAnsi="Times New Roman"/>
          <w:i/>
          <w:sz w:val="28"/>
          <w:szCs w:val="28"/>
          <w:lang w:val="kk-KZ"/>
        </w:rPr>
        <w:t>топлогиялық қашықтықты</w:t>
      </w:r>
      <w:r>
        <w:rPr>
          <w:rFonts w:ascii="Times New Roman" w:hAnsi="Times New Roman"/>
          <w:sz w:val="28"/>
          <w:szCs w:val="28"/>
          <w:lang w:val="kk-KZ"/>
        </w:rPr>
        <w:t>» анықтау тәсілінің өзіндік мәні бар. Осындай есеп мысалы – кварталдар, қоғамдық көліктердің аялдамасы санымен объектіге дейінгі қашықтықты бағалау. Объектілердің орны – мысалы, метрополитен бекеттері, қалалық орналасу жүйесіндегі жеке қалалардың орны – бұл жағдайда сызба немесе графа көмегімен кескіндейді.</w:t>
      </w:r>
    </w:p>
    <w:p w:rsidR="003D7F95" w:rsidRDefault="003D7F95" w:rsidP="003D7F95">
      <w:pPr>
        <w:ind w:firstLine="567"/>
        <w:contextualSpacing/>
        <w:jc w:val="both"/>
        <w:rPr>
          <w:rFonts w:ascii="Times New Roman" w:hAnsi="Times New Roman"/>
          <w:sz w:val="28"/>
          <w:szCs w:val="28"/>
          <w:lang w:val="kk-KZ"/>
        </w:rPr>
      </w:pPr>
      <w:r>
        <w:rPr>
          <w:rFonts w:ascii="Times New Roman" w:hAnsi="Times New Roman"/>
          <w:sz w:val="28"/>
          <w:szCs w:val="28"/>
          <w:lang w:val="kk-KZ"/>
        </w:rPr>
        <w:lastRenderedPageBreak/>
        <w:t xml:space="preserve">Объектілер – қалалар, бекеттер – нүктемен белгіленеді – бұл кескін шыңы. Оларды шыңдар арасындағы байланыстардың болуын қарапайым түрде көрсететін қабырғалар байланыстырады. Сызбадағы шыңдардың өзара орналасуы шындыққа жанастырылған. Шыңдар арасындағы қашықтықты қабырғалар санымен – қысқаша нұсқамен – өлшенеді. Мысалы, Мәскеуден – Еуропалық Ресейдің темір жол торабының кескінінің орталығынан – облыс орталықтарының шыңына дейін бір қабырғаға тең Владимирге, Ярославль, Тверьге дейін, ал Вологда, Нижний Новгородқа дейін: Владимир мен Ярославльге дейінгі тең топологиялық қашықтықта километр саны әр түрлі екенін картадан көруге болады. </w:t>
      </w:r>
    </w:p>
    <w:p w:rsidR="003D7F95" w:rsidRDefault="003D7F95" w:rsidP="003D7F95">
      <w:pPr>
        <w:ind w:firstLine="567"/>
        <w:contextualSpacing/>
        <w:jc w:val="both"/>
        <w:rPr>
          <w:rFonts w:ascii="Times New Roman" w:hAnsi="Times New Roman"/>
          <w:sz w:val="28"/>
          <w:szCs w:val="28"/>
          <w:lang w:val="kk-KZ"/>
        </w:rPr>
      </w:pPr>
      <w:r>
        <w:rPr>
          <w:rFonts w:ascii="Times New Roman" w:hAnsi="Times New Roman"/>
          <w:sz w:val="28"/>
          <w:szCs w:val="28"/>
          <w:lang w:val="kk-KZ"/>
        </w:rPr>
        <w:t>Кескін көмегімен сандық жағынан орталықты, орын тиімділігін анықтауға болады, мысалы, қалалар жүйесінде – Батыс Сібірдің әкімішілік орталықтарын (темір жолда орналасқан). Бір орталықтан қалған басқаларына дейін қашықтық Кениг санымен (яғни, қабырға санымен) өлшенеді. (1кесте)</w:t>
      </w:r>
    </w:p>
    <w:p w:rsidR="003D7F95" w:rsidRDefault="003D7F95" w:rsidP="003D7F95">
      <w:pPr>
        <w:ind w:firstLine="567"/>
        <w:contextualSpacing/>
        <w:jc w:val="both"/>
        <w:rPr>
          <w:rFonts w:ascii="Times New Roman" w:hAnsi="Times New Roman"/>
          <w:sz w:val="28"/>
          <w:szCs w:val="28"/>
          <w:lang w:val="kk-KZ"/>
        </w:rPr>
      </w:pPr>
      <w:r>
        <w:rPr>
          <w:rFonts w:ascii="Times New Roman" w:hAnsi="Times New Roman"/>
          <w:sz w:val="28"/>
          <w:szCs w:val="28"/>
          <w:lang w:val="kk-KZ"/>
        </w:rPr>
        <w:t xml:space="preserve">Кениг санының қосындысы аз болған сайын, жүйедегі пункттің орналасуы тиімдірек, орталыққа жақын болады. Біздің жағдайымызда ол Новосибирскіде жақсырақ, ал Тюменьде – нашар. Ерекше артықшылықты ірі экономикалы объектілер (орталықтар мен аудандар) байланысын жүзеге асыратын сызықтардағы транзиттік орналасу береді. </w:t>
      </w:r>
    </w:p>
    <w:p w:rsidR="00B078EE" w:rsidRPr="003D7F95" w:rsidRDefault="00B078EE">
      <w:pPr>
        <w:rPr>
          <w:lang w:val="kk-KZ"/>
        </w:rPr>
      </w:pPr>
    </w:p>
    <w:sectPr w:rsidR="00B078EE" w:rsidRPr="003D7F9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D6A29DF"/>
    <w:multiLevelType w:val="hybridMultilevel"/>
    <w:tmpl w:val="02DC10FC"/>
    <w:lvl w:ilvl="0" w:tplc="D5DC02E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4"/>
  <w:proofState w:spelling="clean" w:grammar="clean"/>
  <w:defaultTabStop w:val="708"/>
  <w:characterSpacingControl w:val="doNotCompress"/>
  <w:compat>
    <w:useFELayout/>
  </w:compat>
  <w:rsids>
    <w:rsidRoot w:val="003D7F95"/>
    <w:rsid w:val="003D7F95"/>
    <w:rsid w:val="00B078E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3D7F95"/>
    <w:pPr>
      <w:spacing w:line="252" w:lineRule="auto"/>
      <w:ind w:left="720"/>
      <w:contextualSpacing/>
    </w:pPr>
    <w:rPr>
      <w:rFonts w:ascii="Cambria" w:eastAsia="Calibri" w:hAnsi="Cambria" w:cs="Times New Roman"/>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881</Words>
  <Characters>5026</Characters>
  <Application>Microsoft Office Word</Application>
  <DocSecurity>0</DocSecurity>
  <Lines>41</Lines>
  <Paragraphs>11</Paragraphs>
  <ScaleCrop>false</ScaleCrop>
  <Company/>
  <LinksUpToDate>false</LinksUpToDate>
  <CharactersWithSpaces>5896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2</cp:revision>
  <dcterms:created xsi:type="dcterms:W3CDTF">2016-02-08T19:31:00Z</dcterms:created>
  <dcterms:modified xsi:type="dcterms:W3CDTF">2016-02-08T19:31:00Z</dcterms:modified>
</cp:coreProperties>
</file>